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52A725"/>
          <w:sz w:val="32"/>
          <w:szCs w:val="32"/>
        </w:rPr>
      </w:pPr>
      <w:r>
        <w:rPr>
          <w:rFonts w:ascii="OliviaBlackPS" w:hAnsi="OliviaBlackPS" w:cs="OliviaBlackPS"/>
          <w:color w:val="52A725"/>
          <w:sz w:val="32"/>
          <w:szCs w:val="32"/>
        </w:rPr>
        <w:t xml:space="preserve">SPIS TREŚCI 10 </w:t>
      </w:r>
      <w:r>
        <w:rPr>
          <w:rFonts w:ascii="OliviaBlackPS" w:hAnsi="OliviaBlackPS" w:cs="OliviaBlackPS"/>
          <w:color w:val="52A725"/>
          <w:sz w:val="48"/>
          <w:szCs w:val="48"/>
        </w:rPr>
        <w:t>(</w:t>
      </w:r>
      <w:r>
        <w:rPr>
          <w:rFonts w:ascii="OliviaBlackPS" w:hAnsi="OliviaBlackPS" w:cs="OliviaBlackPS"/>
          <w:color w:val="D2010E"/>
          <w:sz w:val="48"/>
          <w:szCs w:val="48"/>
        </w:rPr>
        <w:t>200</w:t>
      </w:r>
      <w:r>
        <w:rPr>
          <w:rFonts w:ascii="OliviaBlackPS" w:hAnsi="OliviaBlackPS" w:cs="OliviaBlackPS"/>
          <w:color w:val="52A725"/>
          <w:sz w:val="48"/>
          <w:szCs w:val="48"/>
        </w:rPr>
        <w:t xml:space="preserve">) </w:t>
      </w:r>
      <w:r>
        <w:rPr>
          <w:rFonts w:ascii="OliviaBlackPS" w:hAnsi="OliviaBlackPS" w:cs="OliviaBlackPS"/>
          <w:color w:val="52A725"/>
          <w:sz w:val="32"/>
          <w:szCs w:val="32"/>
        </w:rPr>
        <w:t>2012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52A725"/>
          <w:sz w:val="32"/>
          <w:szCs w:val="32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2A725"/>
          <w:sz w:val="18"/>
          <w:szCs w:val="18"/>
        </w:rPr>
      </w:pPr>
      <w:r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 xml:space="preserve">429 </w:t>
      </w:r>
      <w:r>
        <w:rPr>
          <w:rFonts w:ascii="Arial-BoldMT" w:hAnsi="Arial-BoldMT" w:cs="Arial-BoldMT"/>
          <w:b/>
          <w:bCs/>
          <w:color w:val="52A725"/>
          <w:sz w:val="18"/>
          <w:szCs w:val="18"/>
        </w:rPr>
        <w:t>Artykuł wstępny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2A725"/>
          <w:sz w:val="18"/>
          <w:szCs w:val="18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2A725"/>
          <w:sz w:val="18"/>
          <w:szCs w:val="18"/>
        </w:rPr>
      </w:pPr>
      <w:r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 xml:space="preserve">435 </w:t>
      </w:r>
      <w:r>
        <w:rPr>
          <w:rFonts w:ascii="Arial-BoldMT" w:hAnsi="Arial-BoldMT" w:cs="Arial-BoldMT"/>
          <w:b/>
          <w:bCs/>
          <w:color w:val="52A725"/>
          <w:sz w:val="18"/>
          <w:szCs w:val="18"/>
        </w:rPr>
        <w:t>Jubileuszowe refleksje z okazji 200-go numeru „TCHiK”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Materiał okolicznościowy z okazji wydania 200-go numeru „TCHiK”. Swoimi uwagami na temat roli pisma o charakterze naukowo-technicznym,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w dobie szybkiego dostępu do informacji za pośrednictwem internetu, dzielą się nasi wieloletni współpracownicy (Beata Niezgoda-Żelasko,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Wojciech Zalewski, Konrad Kalinowski, Krzysztof Kaiser, Dariusz Mikielewicz). Uwagami dzielą się również przedstawiciele firm często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goszczących poprzez swoje reklamy i materiały techniczne na łamach czasopisma. W wielu przypadkach prezentowane rozważania mają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charakter bardziej ogólny, dotyczący roli tradycyjnej formy przekazu informacji w relacji z technologiami nowoczesnymi, m. innymi w procesie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kształcenia nowych pokoleń specjalistów z dziedziny chłodnictwa, klimatyzacji i im pokrewnych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000000"/>
        </w:rPr>
      </w:pPr>
      <w:r>
        <w:rPr>
          <w:rFonts w:ascii="OliviaBlackPS" w:hAnsi="OliviaBlackPS" w:cs="OliviaBlackPS"/>
          <w:color w:val="000000"/>
        </w:rPr>
        <w:t>ODNAWIALNE ŹRÓDŁA ENERGII</w:t>
      </w:r>
    </w:p>
    <w:p w:rsidR="00BB243D" w:rsidRDefault="003A0BC0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000000"/>
        </w:rPr>
      </w:pPr>
      <w:r w:rsidRPr="003A0BC0">
        <w:rPr>
          <w:rFonts w:ascii="ArialMT" w:eastAsia="ArialMT" w:hAnsi="OliviaBlackPS" w:cs="ArialMT"/>
          <w:color w:val="FFFFFF"/>
          <w:sz w:val="18"/>
          <w:szCs w:val="18"/>
        </w:rPr>
        <w:t>CIE</w:t>
      </w:r>
      <w:r w:rsidRPr="003A0BC0">
        <w:rPr>
          <w:rFonts w:ascii="ArialMT" w:eastAsia="ArialMT" w:hAnsi="OliviaBlackPS" w:cs="ArialMT" w:hint="eastAsia"/>
          <w:color w:val="FFFFFF"/>
          <w:sz w:val="18"/>
          <w:szCs w:val="18"/>
        </w:rPr>
        <w:t>Ś</w:t>
      </w:r>
      <w:r w:rsidRPr="003A0BC0">
        <w:rPr>
          <w:rFonts w:ascii="ArialMT" w:eastAsia="ArialMT" w:hAnsi="OliviaBlackPS" w:cs="ArialMT"/>
          <w:color w:val="FFFFFF"/>
          <w:sz w:val="18"/>
          <w:szCs w:val="18"/>
        </w:rPr>
        <w:t>LI</w:t>
      </w:r>
      <w:r w:rsidRPr="003A0BC0">
        <w:rPr>
          <w:rFonts w:ascii="ArialMT" w:eastAsia="ArialMT" w:hAnsi="OliviaBlackPS" w:cs="ArialMT" w:hint="eastAsia"/>
          <w:color w:val="FFFFFF"/>
          <w:sz w:val="18"/>
          <w:szCs w:val="18"/>
        </w:rPr>
        <w:t>Ń</w:t>
      </w:r>
      <w:r w:rsidRPr="003A0BC0">
        <w:rPr>
          <w:rFonts w:ascii="ArialMT" w:eastAsia="ArialMT" w:hAnsi="OliviaBlackPS" w:cs="ArialMT"/>
          <w:color w:val="FFFFFF"/>
          <w:sz w:val="18"/>
          <w:szCs w:val="18"/>
        </w:rPr>
        <w:t>SKIiotr KRASZEWSKI</w:t>
      </w:r>
    </w:p>
    <w:p w:rsidR="00BB243D" w:rsidRDefault="00BB243D" w:rsidP="003A0BC0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18"/>
          <w:szCs w:val="18"/>
        </w:rPr>
      </w:pPr>
      <w:r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 xml:space="preserve">444 </w:t>
      </w:r>
      <w:r>
        <w:rPr>
          <w:rFonts w:ascii="ArialMT" w:eastAsia="ArialMT" w:hAnsi="OliviaBlackPS" w:cs="ArialMT"/>
          <w:color w:val="FFFFFF"/>
          <w:sz w:val="18"/>
          <w:szCs w:val="18"/>
        </w:rPr>
        <w:t>Janusz T</w:t>
      </w:r>
      <w:r w:rsidR="003A0BC0">
        <w:rPr>
          <w:rFonts w:ascii="ArialMT" w:eastAsia="ArialMT" w:hAnsi="OliviaBlackPS" w:cs="ArialMT"/>
          <w:color w:val="FFFFFF"/>
          <w:sz w:val="18"/>
          <w:szCs w:val="18"/>
        </w:rPr>
        <w:tab/>
      </w:r>
      <w:r w:rsidR="003A0BC0" w:rsidRPr="003A0BC0">
        <w:rPr>
          <w:rFonts w:asciiTheme="majorHAnsi" w:eastAsia="ArialMT" w:hAnsiTheme="majorHAnsi" w:cs="ArialMT"/>
          <w:sz w:val="18"/>
          <w:szCs w:val="18"/>
        </w:rPr>
        <w:t>Janusz T. CIEŚLIŃ</w:t>
      </w:r>
      <w:r w:rsidR="003A0BC0">
        <w:rPr>
          <w:rFonts w:asciiTheme="majorHAnsi" w:eastAsia="ArialMT" w:hAnsiTheme="majorHAnsi" w:cs="ArialMT"/>
          <w:sz w:val="18"/>
          <w:szCs w:val="18"/>
        </w:rPr>
        <w:t xml:space="preserve">SKI, </w:t>
      </w:r>
      <w:r w:rsidR="003A0BC0" w:rsidRPr="003A0BC0">
        <w:rPr>
          <w:rFonts w:asciiTheme="majorHAnsi" w:eastAsia="ArialMT" w:hAnsiTheme="majorHAnsi" w:cs="ArialMT"/>
          <w:sz w:val="18"/>
          <w:szCs w:val="18"/>
        </w:rPr>
        <w:t>Piotr KRASZEWSKI</w:t>
      </w:r>
    </w:p>
    <w:p w:rsidR="003A0BC0" w:rsidRPr="003A0BC0" w:rsidRDefault="003A0BC0" w:rsidP="003A0BC0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18"/>
          <w:szCs w:val="18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  <w:r>
        <w:rPr>
          <w:rFonts w:ascii="Arial-BoldMT" w:hAnsi="Arial-BoldMT" w:cs="Arial-BoldMT"/>
          <w:b/>
          <w:bCs/>
          <w:color w:val="D2010E"/>
          <w:sz w:val="18"/>
          <w:szCs w:val="18"/>
        </w:rPr>
        <w:t>Badania hydrodynamiki doświadczalnego reaktora fluidalnego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  <w:r>
        <w:rPr>
          <w:rFonts w:ascii="Arial-BoldMT" w:hAnsi="Arial-BoldMT" w:cs="Arial-BoldMT"/>
          <w:b/>
          <w:bCs/>
          <w:color w:val="D2010E"/>
          <w:sz w:val="18"/>
          <w:szCs w:val="18"/>
        </w:rPr>
        <w:t>na ziarno energetyczne. Część 2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Zasadniczym celem pracy było zaprojektowanie i zbudowanie doświadczalnego reaktora fluidalnego z cyrkulacyjnym złożem fluidalnym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z wewnętrznym układem nawrotu, a następnie przeprowadzenie badań stanowiskowych mających na celu wizualizację i rejestrację struktur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takiego złoża w zależności od sposobu i strumienia doprowadzania powietrza, ilości i rodzaju zasypywanego materiału (ziarna pszenicy, owsa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i rzepaku), a także wysokości reaktora i rodzaju kierownicy. W pierwszej części artykułu („TCHK”, nr 9/2012, s. 376) przedstawiono podział złóż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i kotłów fluidalnych oraz stanowisko badawcze, składające się z trzech zasadniczych części: reaktora fluidalnego, niskociśnieniowej instalacji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powietrza oraz instalacji sprężonego powietrza. W części drugiej artykułu prezentowane są wyniki badań doświadczalnych wraz z wnioskami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000000"/>
        </w:rPr>
      </w:pPr>
      <w:r>
        <w:rPr>
          <w:rFonts w:ascii="OliviaBlackPS" w:hAnsi="OliviaBlackPS" w:cs="OliviaBlackPS"/>
          <w:color w:val="000000"/>
        </w:rPr>
        <w:t>WYMIANA CIEPŁA I WYMIENNIKI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000000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MT" w:eastAsia="ArialMT" w:hAnsi="OliviaBlackPS" w:cs="ArialMT"/>
          <w:color w:val="FFFFFF"/>
          <w:sz w:val="18"/>
          <w:szCs w:val="18"/>
        </w:rPr>
      </w:pPr>
      <w:r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 xml:space="preserve">448 </w:t>
      </w:r>
      <w:r w:rsidR="003A0BC0"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ab/>
      </w:r>
      <w:r w:rsidR="003A0BC0"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ab/>
      </w:r>
      <w:r w:rsidRPr="003A0BC0">
        <w:rPr>
          <w:rFonts w:asciiTheme="majorHAnsi" w:eastAsia="ArialMT" w:hAnsiTheme="majorHAnsi" w:cs="ArialMT"/>
          <w:sz w:val="18"/>
          <w:szCs w:val="18"/>
        </w:rPr>
        <w:t>Rafał</w:t>
      </w:r>
      <w:r w:rsidRPr="003A0BC0">
        <w:rPr>
          <w:rFonts w:asciiTheme="majorHAnsi" w:eastAsia="ArialMT" w:hAnsiTheme="majorHAnsi" w:cs="ArialMT"/>
          <w:sz w:val="18"/>
          <w:szCs w:val="18"/>
        </w:rPr>
        <w:t xml:space="preserve"> ANDRZEJCZYK</w:t>
      </w:r>
      <w:r w:rsidR="003A0BC0">
        <w:rPr>
          <w:rFonts w:asciiTheme="majorHAnsi" w:eastAsia="ArialMT" w:hAnsiTheme="majorHAnsi" w:cs="ArialMT"/>
          <w:sz w:val="18"/>
          <w:szCs w:val="18"/>
        </w:rPr>
        <w:t>, Toma</w:t>
      </w:r>
      <w:r w:rsidRPr="003A0BC0">
        <w:rPr>
          <w:rFonts w:asciiTheme="majorHAnsi" w:eastAsia="ArialMT" w:hAnsiTheme="majorHAnsi" w:cs="ArialMT"/>
          <w:sz w:val="18"/>
          <w:szCs w:val="18"/>
        </w:rPr>
        <w:t>sz MUSZYŃSKI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  <w:r>
        <w:rPr>
          <w:rFonts w:ascii="Arial-BoldMT" w:hAnsi="Arial-BoldMT" w:cs="Arial-BoldMT"/>
          <w:b/>
          <w:bCs/>
          <w:color w:val="D2010E"/>
          <w:sz w:val="18"/>
          <w:szCs w:val="18"/>
        </w:rPr>
        <w:t>Możliwości ograniczenia zużycia energii napędowej urządzeń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  <w:r>
        <w:rPr>
          <w:rFonts w:ascii="Arial-BoldMT" w:hAnsi="Arial-BoldMT" w:cs="Arial-BoldMT"/>
          <w:b/>
          <w:bCs/>
          <w:color w:val="D2010E"/>
          <w:sz w:val="18"/>
          <w:szCs w:val="18"/>
        </w:rPr>
        <w:t>przez optymalizację doboru wymienników ciepła,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  <w:r>
        <w:rPr>
          <w:rFonts w:ascii="Arial-BoldMT" w:hAnsi="Arial-BoldMT" w:cs="Arial-BoldMT"/>
          <w:b/>
          <w:bCs/>
          <w:color w:val="D2010E"/>
          <w:sz w:val="18"/>
          <w:szCs w:val="18"/>
        </w:rPr>
        <w:t>właściwą konfigurację i kontrolę przepływu płynów roboczych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Artykuł poświęcony możliwości ograniczenia zużycia energii napędowej urządzeń na drodze optymalizacji doboru wymienników ciepła, właściwej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konfiguracji i kontroli przepływu płynów roboczych. Przedstawiono w nim ocenę zużycia energii w systemach energetycznych o największej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energochłonności w realiach Polski. Zwrócono uwagę na możliwość wykorzystania wymienników ciepła o wysokiej efektywności dla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zmniejszenia oporu przenoszenia ciepła między ośrodkami. Analizę przeprowadzono na przykładzie skraplacza i parownika konwencjonalnego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sprężarkowego urządzenia chłodniczego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000000"/>
        </w:rPr>
      </w:pPr>
      <w:r>
        <w:rPr>
          <w:rFonts w:ascii="OliviaBlackPS" w:hAnsi="OliviaBlackPS" w:cs="OliviaBlackPS"/>
          <w:color w:val="000000"/>
        </w:rPr>
        <w:t>SZTUCZNE LODOWISKA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000000"/>
        </w:rPr>
      </w:pPr>
    </w:p>
    <w:p w:rsidR="00BB243D" w:rsidRPr="003A0BC0" w:rsidRDefault="00BB243D" w:rsidP="00BB243D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18"/>
          <w:szCs w:val="18"/>
        </w:rPr>
      </w:pPr>
      <w:r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 xml:space="preserve">454 </w:t>
      </w:r>
      <w:r w:rsidR="003A0BC0"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ab/>
      </w:r>
      <w:r w:rsidR="003A0BC0"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ab/>
      </w:r>
      <w:r w:rsidR="003A0BC0" w:rsidRPr="003A0BC0">
        <w:rPr>
          <w:rFonts w:asciiTheme="majorHAnsi" w:eastAsia="ArialMT" w:hAnsiTheme="majorHAnsi" w:cs="ArialMT"/>
          <w:sz w:val="18"/>
          <w:szCs w:val="18"/>
        </w:rPr>
        <w:t>Michał ANDRZEJCZYK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  <w:r>
        <w:rPr>
          <w:rFonts w:ascii="Arial-BoldMT" w:hAnsi="Arial-BoldMT" w:cs="Arial-BoldMT"/>
          <w:b/>
          <w:bCs/>
          <w:color w:val="D2010E"/>
          <w:sz w:val="18"/>
          <w:szCs w:val="18"/>
        </w:rPr>
        <w:t>Charakterystyka techniczna i użytkowa obiektów typu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  <w:r>
        <w:rPr>
          <w:rFonts w:ascii="Arial-BoldMT" w:hAnsi="Arial-BoldMT" w:cs="Arial-BoldMT"/>
          <w:b/>
          <w:bCs/>
          <w:color w:val="D2010E"/>
          <w:sz w:val="18"/>
          <w:szCs w:val="18"/>
        </w:rPr>
        <w:t>sztuczne lodowisko. Część 3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W części pierwszej artykułu („TCHK”, nr 4/2012, s.159) między innymi omówiono budowę lodowiska przenośnego (demontowanego), w tym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sporo uwagi poświęcono konstrukcji płyty lodowiska, charakterystyce tafli lodowej oraz stosowanym w tego typu obiektach systemom chłodzenia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(pośrednim i bezpośrednim). W części drugiej („TCHK”, nr 9/2012, s.391) podano założenia projektowe wynikające z programu „Orlik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2012”, w tym założenia chłodnicze wynikające z wyboru systemu chłodzenia z pośrednim nośnikiem ciepła. Przedstawiono bilans cieplny dla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wybranej konstrukcji lodowiska opracowany dla fazy zamrażania jego tafli lodowej. W części trzeciej przedstawiono wyniki bilansu cieplnego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dla fazy jego użytkowania. Zestawiono wyniki obliczeń dla obu analizowanych faz i na tej podstawie określono wymaganą wydajność chłodniczą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agregatu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000000"/>
        </w:rPr>
      </w:pPr>
      <w:r>
        <w:rPr>
          <w:rFonts w:ascii="OliviaBlackPS" w:hAnsi="OliviaBlackPS" w:cs="OliviaBlackPS"/>
          <w:color w:val="000000"/>
        </w:rPr>
        <w:t>KLIMATYZACJA I WENTYLACJA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000000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MT" w:eastAsia="ArialMT" w:hAnsi="OliviaBlackPS" w:cs="ArialMT"/>
          <w:color w:val="FFFFFF"/>
          <w:sz w:val="18"/>
          <w:szCs w:val="18"/>
        </w:rPr>
      </w:pPr>
      <w:r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 xml:space="preserve">462 </w:t>
      </w:r>
      <w:r w:rsidR="003A0BC0"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ab/>
      </w:r>
      <w:r w:rsidR="003A0BC0"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ab/>
      </w:r>
      <w:r w:rsidRPr="003A0BC0">
        <w:rPr>
          <w:rFonts w:asciiTheme="majorHAnsi" w:eastAsia="ArialMT" w:hAnsiTheme="majorHAnsi" w:cs="ArialMT"/>
          <w:sz w:val="18"/>
          <w:szCs w:val="18"/>
        </w:rPr>
        <w:t>Paweł</w:t>
      </w:r>
      <w:r w:rsidRPr="003A0BC0">
        <w:rPr>
          <w:rFonts w:asciiTheme="majorHAnsi" w:eastAsia="ArialMT" w:hAnsiTheme="majorHAnsi" w:cs="ArialMT"/>
          <w:sz w:val="18"/>
          <w:szCs w:val="18"/>
        </w:rPr>
        <w:t xml:space="preserve"> BALEWSKI</w:t>
      </w:r>
      <w:r w:rsidR="003A0BC0">
        <w:rPr>
          <w:rFonts w:asciiTheme="majorHAnsi" w:eastAsia="ArialMT" w:hAnsiTheme="majorHAnsi" w:cs="ArialMT"/>
          <w:sz w:val="18"/>
          <w:szCs w:val="18"/>
        </w:rPr>
        <w:t>, Krzy</w:t>
      </w:r>
      <w:r w:rsidRPr="003A0BC0">
        <w:rPr>
          <w:rFonts w:asciiTheme="majorHAnsi" w:eastAsia="ArialMT" w:hAnsiTheme="majorHAnsi" w:cs="ArialMT"/>
          <w:sz w:val="18"/>
          <w:szCs w:val="18"/>
        </w:rPr>
        <w:t>sztof JURCZYŃSKI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  <w:r>
        <w:rPr>
          <w:rFonts w:ascii="Arial-BoldMT" w:hAnsi="Arial-BoldMT" w:cs="Arial-BoldMT"/>
          <w:b/>
          <w:bCs/>
          <w:color w:val="D2010E"/>
          <w:sz w:val="18"/>
          <w:szCs w:val="18"/>
        </w:rPr>
        <w:t>Klimatyzacja obiektów basenowych.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  <w:r>
        <w:rPr>
          <w:rFonts w:ascii="Arial-BoldMT" w:hAnsi="Arial-BoldMT" w:cs="Arial-BoldMT"/>
          <w:b/>
          <w:bCs/>
          <w:color w:val="D2010E"/>
          <w:sz w:val="18"/>
          <w:szCs w:val="18"/>
        </w:rPr>
        <w:t>Zagadnienia teoretyczne i praktyczne rozwiązania. Część 2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Artykuł poświęcony klimatyzacji obiektów basenowych. W jego części pierwszej („TCHK”, nr 8/2012, s. 347) omówione zostały takie zagadnienia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odniesione do tego typu obiektów, jak: parametry cieplno-wilgotnościowe w halach krytych pływalni, krzywa duszności, wymagany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strumień powietrza świeżego, rozdział powietrza w hali basenowej. Podjęto w nim próbę wskazania postępowania dla obniżenia kosztów eksploatacji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systemu wentylacji hali basenowej bez pogorszenia jakości powietrza i komfortu użytkowników obiektu. W części drugiej publikacji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autorzy formułują najważniejsze zadania stawiane basenowej centrali klimatyzacyjnej. Prezentują charakterystyki techniczne takich urządzeń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produkcji duńskiej firmy Dantherm, a również rodzinę kondensacyjnych osuszaczy powietrza tego producenta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</w:p>
    <w:p w:rsidR="003A0BC0" w:rsidRDefault="003A0BC0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</w:p>
    <w:p w:rsidR="003A0BC0" w:rsidRDefault="003A0BC0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</w:p>
    <w:p w:rsidR="003A0BC0" w:rsidRDefault="003A0BC0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</w:p>
    <w:p w:rsidR="003A0BC0" w:rsidRDefault="003A0BC0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</w:p>
    <w:p w:rsidR="003A0BC0" w:rsidRDefault="003A0BC0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</w:p>
    <w:p w:rsidR="003A0BC0" w:rsidRDefault="003A0BC0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000000"/>
        </w:rPr>
      </w:pPr>
      <w:r>
        <w:rPr>
          <w:rFonts w:ascii="OliviaBlackPS" w:hAnsi="OliviaBlackPS" w:cs="OliviaBlackPS"/>
          <w:color w:val="000000"/>
        </w:rPr>
        <w:lastRenderedPageBreak/>
        <w:t>EKSPLOATACJA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000000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MT" w:eastAsia="ArialMT" w:hAnsi="OliviaBlackPS" w:cs="ArialMT"/>
          <w:color w:val="FFFFFF"/>
          <w:sz w:val="18"/>
          <w:szCs w:val="18"/>
        </w:rPr>
      </w:pPr>
      <w:r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 xml:space="preserve">468 </w:t>
      </w:r>
      <w:r w:rsidR="003A0BC0"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ab/>
      </w:r>
      <w:r w:rsidR="003A0BC0" w:rsidRPr="003A0BC0">
        <w:rPr>
          <w:rFonts w:asciiTheme="majorHAnsi" w:hAnsiTheme="majorHAnsi" w:cs="SwitzerlandCondensed-Bold"/>
          <w:b/>
          <w:bCs/>
          <w:sz w:val="20"/>
          <w:szCs w:val="20"/>
        </w:rPr>
        <w:tab/>
      </w:r>
      <w:r w:rsidR="003A0BC0" w:rsidRPr="003A0BC0">
        <w:rPr>
          <w:rFonts w:asciiTheme="majorHAnsi" w:eastAsia="ArialMT" w:hAnsiTheme="majorHAnsi" w:cs="ArialMT"/>
          <w:sz w:val="18"/>
          <w:szCs w:val="18"/>
        </w:rPr>
        <w:t>Dariusz NANOWSKI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  <w:r>
        <w:rPr>
          <w:rFonts w:ascii="Arial-BoldMT" w:hAnsi="Arial-BoldMT" w:cs="Arial-BoldMT"/>
          <w:b/>
          <w:bCs/>
          <w:color w:val="D2010E"/>
          <w:sz w:val="18"/>
          <w:szCs w:val="18"/>
        </w:rPr>
        <w:t>Eksploatacja okrętowych urządzeń chłodniczych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  <w:r>
        <w:rPr>
          <w:rFonts w:ascii="Arial-BoldMT" w:hAnsi="Arial-BoldMT" w:cs="Arial-BoldMT"/>
          <w:b/>
          <w:bCs/>
          <w:color w:val="D2010E"/>
          <w:sz w:val="18"/>
          <w:szCs w:val="18"/>
        </w:rPr>
        <w:t>i klimatyzacyjnych (6)</w:t>
      </w:r>
    </w:p>
    <w:p w:rsidR="003A0BC0" w:rsidRDefault="003A0BC0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</w:p>
    <w:p w:rsidR="003A0BC0" w:rsidRDefault="003A0BC0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000000"/>
        </w:rPr>
      </w:pPr>
      <w:r>
        <w:rPr>
          <w:rFonts w:ascii="OliviaBlackPS" w:hAnsi="OliviaBlackPS" w:cs="OliviaBlackPS"/>
          <w:color w:val="000000"/>
        </w:rPr>
        <w:t>INFORMACJE OGÓLNE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000000"/>
        </w:rPr>
      </w:pPr>
    </w:p>
    <w:p w:rsidR="00BB243D" w:rsidRPr="003A0BC0" w:rsidRDefault="00BB243D" w:rsidP="00BB243D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18"/>
          <w:szCs w:val="18"/>
        </w:rPr>
      </w:pPr>
      <w:r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 xml:space="preserve">471 </w:t>
      </w:r>
      <w:r w:rsidR="003A0BC0"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ab/>
      </w:r>
      <w:r w:rsidR="003A0BC0"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ab/>
      </w:r>
      <w:r w:rsidR="003A0BC0" w:rsidRPr="003A0BC0">
        <w:rPr>
          <w:rFonts w:asciiTheme="majorHAnsi" w:eastAsia="ArialMT" w:hAnsiTheme="majorHAnsi" w:cs="ArialMT"/>
          <w:sz w:val="18"/>
          <w:szCs w:val="18"/>
        </w:rPr>
        <w:t>Piotr JASIUKIEWICZ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  <w:r>
        <w:rPr>
          <w:rFonts w:ascii="Arial-BoldMT" w:hAnsi="Arial-BoldMT" w:cs="Arial-BoldMT"/>
          <w:b/>
          <w:bCs/>
          <w:color w:val="D2010E"/>
          <w:sz w:val="18"/>
          <w:szCs w:val="18"/>
        </w:rPr>
        <w:t>Historia i dzień dzisiejszy Kanału Elbląskiego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Publikacja jest częścią pierwszą studium poświęconego historii budowy szlaku wodnego łączącego Elbląg z Iławą i Ostródą, zwanego Kanałem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Elbląskim. W części pierwszej autor przedstawia przyczyny powstania kanału i poszczególne etapy budowy tej unikalnej drogi wodnej. Jej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budowę rozpoczęto w roku 1827. W części drugiej artykułu zaprezentowane zostaną maszyny hydrotechniczne tej budowli i jej stan obecny.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Opracowanie jest efektem prywatnych zainteresowań autora i wieloletniego gromadzenia przez niego materiałów archiwalnych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</w:pPr>
      <w:r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 xml:space="preserve">480 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  <w:r>
        <w:rPr>
          <w:rFonts w:ascii="Arial-BoldMT" w:hAnsi="Arial-BoldMT" w:cs="Arial-BoldMT"/>
          <w:b/>
          <w:bCs/>
          <w:color w:val="D2010E"/>
          <w:sz w:val="18"/>
          <w:szCs w:val="18"/>
        </w:rPr>
        <w:t>Kolejne szkolenia i świadectwa kwalifikacji w Gdańsku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000000"/>
        </w:rPr>
      </w:pPr>
      <w:r>
        <w:rPr>
          <w:rFonts w:ascii="OliviaBlackPS" w:hAnsi="OliviaBlackPS" w:cs="OliviaBlackPS"/>
          <w:color w:val="000000"/>
        </w:rPr>
        <w:t>ARTYKUŁY SPONSOROWANE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000000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</w:pPr>
      <w:r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 xml:space="preserve">482 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  <w:r>
        <w:rPr>
          <w:rFonts w:ascii="Arial-BoldMT" w:hAnsi="Arial-BoldMT" w:cs="Arial-BoldMT"/>
          <w:b/>
          <w:bCs/>
          <w:color w:val="D2010E"/>
          <w:sz w:val="18"/>
          <w:szCs w:val="18"/>
        </w:rPr>
        <w:t>ROBUR: Słupski Inkubator Technologiczny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</w:pPr>
      <w:r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 xml:space="preserve">468 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  <w:r>
        <w:rPr>
          <w:rFonts w:ascii="Arial-BoldMT" w:hAnsi="Arial-BoldMT" w:cs="Arial-BoldMT"/>
          <w:b/>
          <w:bCs/>
          <w:color w:val="D2010E"/>
          <w:sz w:val="18"/>
          <w:szCs w:val="18"/>
        </w:rPr>
        <w:t>ELEKTRONIKA SA poleca. STREAM Copeland – najnowocześniejsze…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MT" w:eastAsia="ArialMT" w:hAnsi="OliviaBlackPS" w:cs="ArialMT"/>
          <w:color w:val="FFFFFF"/>
          <w:sz w:val="18"/>
          <w:szCs w:val="18"/>
        </w:rPr>
      </w:pPr>
      <w:r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 xml:space="preserve">488 </w:t>
      </w:r>
      <w:r w:rsidR="003A0BC0"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ab/>
      </w:r>
      <w:r w:rsidR="003A0BC0"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ab/>
      </w:r>
      <w:bookmarkStart w:id="0" w:name="_GoBack"/>
      <w:bookmarkEnd w:id="0"/>
      <w:r w:rsidR="003A0BC0" w:rsidRPr="003A0BC0">
        <w:rPr>
          <w:rFonts w:asciiTheme="majorHAnsi" w:eastAsia="ArialMT" w:hAnsiTheme="majorHAnsi" w:cs="ArialMT"/>
          <w:sz w:val="18"/>
          <w:szCs w:val="18"/>
        </w:rPr>
        <w:t>(PANASONIC)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  <w:r>
        <w:rPr>
          <w:rFonts w:ascii="Arial-BoldMT" w:hAnsi="Arial-BoldMT" w:cs="Arial-BoldMT"/>
          <w:b/>
          <w:bCs/>
          <w:color w:val="D2010E"/>
          <w:sz w:val="18"/>
          <w:szCs w:val="18"/>
        </w:rPr>
        <w:t>Aplikacja IntesisHome teraz dostępna także dla pomp ciepła Aquarea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2010E"/>
          <w:sz w:val="18"/>
          <w:szCs w:val="18"/>
        </w:rPr>
      </w:pP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000000"/>
        </w:rPr>
      </w:pPr>
      <w:r>
        <w:rPr>
          <w:rFonts w:ascii="OliviaBlackPS" w:hAnsi="OliviaBlackPS" w:cs="OliviaBlackPS"/>
          <w:color w:val="000000"/>
        </w:rPr>
        <w:t>GDZIE I JAK</w:t>
      </w:r>
    </w:p>
    <w:p w:rsidR="00BB243D" w:rsidRDefault="00BB243D" w:rsidP="00BB243D">
      <w:pPr>
        <w:autoSpaceDE w:val="0"/>
        <w:autoSpaceDN w:val="0"/>
        <w:adjustRightInd w:val="0"/>
        <w:spacing w:after="0" w:line="240" w:lineRule="auto"/>
        <w:rPr>
          <w:rFonts w:ascii="OliviaBlackPS" w:hAnsi="OliviaBlackPS" w:cs="OliviaBlackPS"/>
          <w:color w:val="000000"/>
        </w:rPr>
      </w:pPr>
    </w:p>
    <w:p w:rsidR="00681E75" w:rsidRDefault="00BB243D" w:rsidP="00BB243D">
      <w:r>
        <w:rPr>
          <w:rFonts w:ascii="SwitzerlandCondensed-Bold" w:hAnsi="SwitzerlandCondensed-Bold" w:cs="SwitzerlandCondensed-Bold"/>
          <w:b/>
          <w:bCs/>
          <w:color w:val="52A725"/>
          <w:sz w:val="20"/>
          <w:szCs w:val="20"/>
        </w:rPr>
        <w:t xml:space="preserve">490 </w:t>
      </w:r>
      <w:r>
        <w:rPr>
          <w:rFonts w:ascii="Arial-BoldMT" w:hAnsi="Arial-BoldMT" w:cs="Arial-BoldMT"/>
          <w:b/>
          <w:bCs/>
          <w:color w:val="52A725"/>
          <w:sz w:val="18"/>
          <w:szCs w:val="18"/>
        </w:rPr>
        <w:t>Prenumerata, zakup pisma. Co w następnych numerach</w:t>
      </w:r>
    </w:p>
    <w:sectPr w:rsidR="0068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liviaBlackP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tzerland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A"/>
    <w:rsid w:val="0035413A"/>
    <w:rsid w:val="003A0BC0"/>
    <w:rsid w:val="00681E75"/>
    <w:rsid w:val="00B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812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Rasiński - Bonca</dc:creator>
  <cp:keywords/>
  <dc:description/>
  <cp:lastModifiedBy>Jarek Rasiński - Bonca</cp:lastModifiedBy>
  <cp:revision>4</cp:revision>
  <dcterms:created xsi:type="dcterms:W3CDTF">2012-11-10T14:37:00Z</dcterms:created>
  <dcterms:modified xsi:type="dcterms:W3CDTF">2012-11-10T14:42:00Z</dcterms:modified>
</cp:coreProperties>
</file>